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E4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</w:rPr>
        <w:t>Карта учебно-методической обеспеченности дисциплины</w:t>
      </w:r>
      <w:r w:rsidRPr="005F29B9">
        <w:rPr>
          <w:b/>
          <w:lang w:val="kk-KZ"/>
        </w:rPr>
        <w:t xml:space="preserve"> </w:t>
      </w:r>
    </w:p>
    <w:p w:rsidR="003A7E46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  <w:lang w:val="kk-KZ"/>
        </w:rPr>
        <w:t>«</w:t>
      </w:r>
      <w:r w:rsidR="0078349C">
        <w:rPr>
          <w:b/>
          <w:lang w:val="kk-KZ"/>
        </w:rPr>
        <w:t>Критериалды бағалау технологиясы</w:t>
      </w:r>
      <w:r w:rsidRPr="005F29B9">
        <w:rPr>
          <w:b/>
          <w:lang w:val="kk-KZ"/>
        </w:rPr>
        <w:t>»</w:t>
      </w:r>
    </w:p>
    <w:p w:rsidR="003A7E46" w:rsidRPr="005F29B9" w:rsidRDefault="003A7E46" w:rsidP="003A7E46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1559"/>
        <w:gridCol w:w="851"/>
        <w:gridCol w:w="850"/>
        <w:gridCol w:w="851"/>
      </w:tblGrid>
      <w:tr w:rsidR="003A7E46" w:rsidRPr="005F29B9" w:rsidTr="00326A04">
        <w:trPr>
          <w:trHeight w:val="1007"/>
        </w:trPr>
        <w:tc>
          <w:tcPr>
            <w:tcW w:w="39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5103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D21C49">
        <w:tc>
          <w:tcPr>
            <w:tcW w:w="39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326A04">
            <w:pPr>
              <w:rPr>
                <w:lang w:val="kk-KZ"/>
              </w:rPr>
            </w:pPr>
            <w:r w:rsidRPr="005F29B9">
              <w:rPr>
                <w:lang w:val="kk-KZ"/>
              </w:rPr>
              <w:t>каз</w:t>
            </w:r>
          </w:p>
        </w:tc>
        <w:tc>
          <w:tcPr>
            <w:tcW w:w="850" w:type="dxa"/>
          </w:tcPr>
          <w:p w:rsidR="003A7E46" w:rsidRPr="005F29B9" w:rsidRDefault="003A7E46" w:rsidP="00326A04">
            <w:pPr>
              <w:rPr>
                <w:lang w:val="kk-KZ"/>
              </w:rPr>
            </w:pPr>
            <w:r w:rsidRPr="005F29B9">
              <w:rPr>
                <w:lang w:val="kk-KZ"/>
              </w:rPr>
              <w:t>рус</w:t>
            </w:r>
          </w:p>
        </w:tc>
        <w:tc>
          <w:tcPr>
            <w:tcW w:w="851" w:type="dxa"/>
          </w:tcPr>
          <w:p w:rsidR="003A7E46" w:rsidRPr="005F29B9" w:rsidRDefault="003A7E46" w:rsidP="00326A04">
            <w:pPr>
              <w:rPr>
                <w:lang w:val="kk-KZ"/>
              </w:rPr>
            </w:pPr>
            <w:bookmarkStart w:id="0" w:name="_GoBack"/>
            <w:bookmarkEnd w:id="0"/>
            <w:r w:rsidRPr="005F29B9">
              <w:rPr>
                <w:lang w:val="kk-KZ"/>
              </w:rPr>
              <w:t>англ</w:t>
            </w: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D21C49" w:rsidRDefault="003A7E46" w:rsidP="00551892">
            <w:pPr>
              <w:ind w:firstLine="709"/>
              <w:rPr>
                <w:b/>
                <w:lang w:val="kk-KZ"/>
              </w:rPr>
            </w:pPr>
            <w:r w:rsidRPr="00D21C49">
              <w:rPr>
                <w:b/>
                <w:lang w:val="kk-KZ"/>
              </w:rPr>
              <w:t xml:space="preserve">Учебная литература </w:t>
            </w:r>
          </w:p>
        </w:tc>
        <w:tc>
          <w:tcPr>
            <w:tcW w:w="1559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D21C49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103" w:type="dxa"/>
          </w:tcPr>
          <w:p w:rsidR="003A7E46" w:rsidRPr="00B74E06" w:rsidRDefault="00B74E06" w:rsidP="00934A4F">
            <w:pPr>
              <w:jc w:val="both"/>
              <w:rPr>
                <w:sz w:val="20"/>
                <w:szCs w:val="20"/>
                <w:lang w:val="kk-KZ"/>
              </w:rPr>
            </w:pPr>
            <w:r w:rsidRPr="00164CAB">
              <w:rPr>
                <w:sz w:val="20"/>
                <w:szCs w:val="20"/>
                <w:lang w:val="kk-KZ"/>
              </w:rPr>
              <w:t xml:space="preserve">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164CAB">
              <w:rPr>
                <w:bCs/>
                <w:sz w:val="20"/>
                <w:szCs w:val="20"/>
                <w:lang w:val="kk-KZ"/>
              </w:rPr>
              <w:t xml:space="preserve">Астана. «Ұлттық аударма бюросы» ҚҚ. </w:t>
            </w:r>
            <w:r w:rsidRPr="00164CAB">
              <w:rPr>
                <w:sz w:val="20"/>
                <w:szCs w:val="20"/>
                <w:lang w:val="kk-KZ"/>
              </w:rPr>
              <w:t xml:space="preserve">2019. - 607 б. </w:t>
            </w: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B74E06" w:rsidP="00B74E0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3A7E46" w:rsidRPr="005F29B9" w:rsidRDefault="003A7E46" w:rsidP="00D21C49">
            <w:pPr>
              <w:rPr>
                <w:lang w:val="kk-KZ"/>
              </w:rPr>
            </w:pPr>
            <w:r w:rsidRPr="005F29B9">
              <w:rPr>
                <w:lang w:val="kk-KZ"/>
              </w:rPr>
              <w:t>45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942C74" w:rsidRPr="00D21C49" w:rsidRDefault="00D21C49" w:rsidP="00D21C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Әлімов Асхат</w:t>
            </w:r>
          </w:p>
          <w:p w:rsidR="003A7E46" w:rsidRPr="00D21C49" w:rsidRDefault="00942C74" w:rsidP="00934A4F">
            <w:pPr>
              <w:jc w:val="both"/>
              <w:rPr>
                <w:sz w:val="28"/>
                <w:szCs w:val="28"/>
                <w:lang w:val="kk-KZ"/>
              </w:rPr>
            </w:pPr>
            <w:r w:rsidRPr="00D21C49">
              <w:rPr>
                <w:lang w:val="kk-KZ"/>
              </w:rPr>
              <w:t xml:space="preserve">Интербелсенді әдістерді жоғары оқу орындарында қолдану. Оқу құралы. – Алматы:  баспасы, </w:t>
            </w:r>
            <w:r w:rsidR="00D21C49">
              <w:rPr>
                <w:lang w:val="kk-KZ"/>
              </w:rPr>
              <w:t xml:space="preserve">   </w:t>
            </w:r>
            <w:r w:rsidRPr="00D21C49">
              <w:rPr>
                <w:lang w:val="kk-KZ"/>
              </w:rPr>
              <w:t>2009. - 263 бет.</w:t>
            </w: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3A7E46" w:rsidP="00D21C49">
            <w:pPr>
              <w:rPr>
                <w:lang w:val="kk-KZ"/>
              </w:rPr>
            </w:pPr>
            <w:r w:rsidRPr="005F29B9"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5F29B9" w:rsidRDefault="00D21C49" w:rsidP="00D21C49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proofErr w:type="spellStart"/>
            <w:r>
              <w:t>Садвакасова</w:t>
            </w:r>
            <w:proofErr w:type="spellEnd"/>
            <w:r>
              <w:t xml:space="preserve"> З.М. Секреты педагогического мастерства: Методические рекомендации для преподавателей вузов. 2-е изд. доп. – Алматы, 2010. – 52 с.</w:t>
            </w: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3A7E46" w:rsidP="00D21C4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D21C49" w:rsidP="00D21C49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B74E06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5F29B9" w:rsidRDefault="00B74E06" w:rsidP="00B74E06">
            <w:pPr>
              <w:jc w:val="both"/>
              <w:rPr>
                <w:lang w:val="kk-KZ"/>
              </w:rPr>
            </w:pPr>
            <w:r w:rsidRPr="00B74E06">
              <w:rPr>
                <w:lang w:val="kk-KZ"/>
              </w:rPr>
              <w:t>Урмашев Б.А</w:t>
            </w:r>
            <w:r w:rsidRPr="00B74E06">
              <w:rPr>
                <w:lang w:val="kk-KZ"/>
              </w:rPr>
              <w:t xml:space="preserve"> Критериалды б</w:t>
            </w:r>
            <w:r w:rsidRPr="00B74E06">
              <w:rPr>
                <w:lang w:val="kk-KZ"/>
              </w:rPr>
              <w:t xml:space="preserve">ағалау технологиясы: Оқу құралы. </w:t>
            </w:r>
            <w:r w:rsidRPr="00B74E06">
              <w:rPr>
                <w:lang w:val="kk-KZ"/>
              </w:rPr>
              <w:t>Алматы: «ССК» баспасы, 2016,- 140 б</w:t>
            </w: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B74E06" w:rsidP="00D21C4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B74E06" w:rsidTr="00D21C49">
        <w:trPr>
          <w:trHeight w:val="323"/>
        </w:trPr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Default="00B74E06" w:rsidP="00D21C49">
            <w:pPr>
              <w:spacing w:after="160" w:line="259" w:lineRule="auto"/>
              <w:contextualSpacing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Оқыту мен оқудың белсенді әдістері. Астана, 2013. </w:t>
            </w:r>
          </w:p>
          <w:p w:rsidR="00B74E06" w:rsidRPr="00B74E06" w:rsidRDefault="00B74E06" w:rsidP="00B74E06">
            <w:pPr>
              <w:spacing w:after="160" w:line="259" w:lineRule="auto"/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3A7E46" w:rsidP="00D21C4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5F29B9" w:rsidRDefault="00B74E0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164CAB">
              <w:rPr>
                <w:rStyle w:val="a5"/>
                <w:bCs/>
                <w:sz w:val="20"/>
                <w:szCs w:val="20"/>
                <w:lang w:val="kk-KZ"/>
              </w:rPr>
              <w:t>Элен Битэм, Рона Шарп. Педагогиканы цифрлық дәуірде қайта зерделеу. ХХІ ғасырдағы оқыту дизайны. – </w:t>
            </w:r>
            <w:r w:rsidRPr="00164CAB">
              <w:rPr>
                <w:rStyle w:val="charoverride-11"/>
                <w:sz w:val="20"/>
                <w:szCs w:val="20"/>
                <w:lang w:val="kk-KZ"/>
              </w:rPr>
              <w:t>Алматы: «Ұлттық аударма бюросы» қоғамдық қоры. – 2019 жыл. – 328 бет.</w:t>
            </w:r>
          </w:p>
        </w:tc>
        <w:tc>
          <w:tcPr>
            <w:tcW w:w="1559" w:type="dxa"/>
          </w:tcPr>
          <w:p w:rsidR="003A7E46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31</w:t>
            </w:r>
          </w:p>
        </w:tc>
        <w:tc>
          <w:tcPr>
            <w:tcW w:w="851" w:type="dxa"/>
          </w:tcPr>
          <w:p w:rsidR="003A7E46" w:rsidRPr="005F29B9" w:rsidRDefault="00B74E06" w:rsidP="00D21C49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5F29B9" w:rsidRDefault="003A7E46" w:rsidP="00D21C49">
            <w:pPr>
              <w:rPr>
                <w:lang w:val="kk-KZ"/>
              </w:rPr>
            </w:pPr>
            <w:r w:rsidRPr="005F29B9"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D21C49">
        <w:tc>
          <w:tcPr>
            <w:tcW w:w="39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3A7E46" w:rsidRPr="005F29B9" w:rsidRDefault="00942C74" w:rsidP="00D21C49">
            <w:pPr>
              <w:jc w:val="both"/>
              <w:rPr>
                <w:lang w:val="kk-KZ"/>
              </w:rPr>
            </w:pPr>
            <w:r>
              <w:rPr>
                <w:color w:val="368485"/>
              </w:rPr>
              <w:t>mikegershon@hotmail.com</w:t>
            </w:r>
          </w:p>
        </w:tc>
        <w:tc>
          <w:tcPr>
            <w:tcW w:w="1559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942C74" w:rsidRPr="005F29B9" w:rsidTr="00D21C49">
        <w:tc>
          <w:tcPr>
            <w:tcW w:w="392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942C74" w:rsidRDefault="00942C74" w:rsidP="00D21C49">
            <w:pPr>
              <w:jc w:val="both"/>
              <w:rPr>
                <w:color w:val="368485"/>
              </w:rPr>
            </w:pPr>
          </w:p>
        </w:tc>
        <w:tc>
          <w:tcPr>
            <w:tcW w:w="1559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942C74" w:rsidRPr="005F29B9" w:rsidTr="00D21C49">
        <w:tc>
          <w:tcPr>
            <w:tcW w:w="392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942C74" w:rsidRDefault="00942C74" w:rsidP="00D21C49">
            <w:pPr>
              <w:jc w:val="both"/>
              <w:rPr>
                <w:color w:val="368485"/>
              </w:rPr>
            </w:pPr>
          </w:p>
        </w:tc>
        <w:tc>
          <w:tcPr>
            <w:tcW w:w="1559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942C74" w:rsidRPr="005F29B9" w:rsidTr="00D21C49">
        <w:tc>
          <w:tcPr>
            <w:tcW w:w="392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942C74" w:rsidRDefault="00942C74" w:rsidP="00D21C49">
            <w:pPr>
              <w:jc w:val="both"/>
              <w:rPr>
                <w:color w:val="368485"/>
              </w:rPr>
            </w:pPr>
          </w:p>
        </w:tc>
        <w:tc>
          <w:tcPr>
            <w:tcW w:w="1559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42C74" w:rsidRPr="005F29B9" w:rsidRDefault="00942C74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F29B9" w:rsidRDefault="003A7E46" w:rsidP="003A7E46"/>
    <w:p w:rsidR="003856FF" w:rsidRPr="005F29B9" w:rsidRDefault="003856FF"/>
    <w:p w:rsidR="005F29B9" w:rsidRPr="005F29B9" w:rsidRDefault="005F29B9"/>
    <w:sectPr w:rsidR="005F29B9" w:rsidRPr="005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26A04"/>
    <w:rsid w:val="003856FF"/>
    <w:rsid w:val="003A7E46"/>
    <w:rsid w:val="00417DE4"/>
    <w:rsid w:val="005F29B9"/>
    <w:rsid w:val="0078349C"/>
    <w:rsid w:val="00934A4F"/>
    <w:rsid w:val="00942C74"/>
    <w:rsid w:val="00A211C8"/>
    <w:rsid w:val="00B74E06"/>
    <w:rsid w:val="00D21C49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CF0FC-DEA7-469A-95CF-D465EA00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4E06"/>
    <w:rPr>
      <w:color w:val="0000FF"/>
      <w:u w:val="single"/>
    </w:rPr>
  </w:style>
  <w:style w:type="character" w:customStyle="1" w:styleId="a5">
    <w:name w:val="полужирный"/>
    <w:basedOn w:val="a0"/>
    <w:rsid w:val="00B74E06"/>
  </w:style>
  <w:style w:type="character" w:customStyle="1" w:styleId="charoverride-11">
    <w:name w:val="charoverride-11"/>
    <w:basedOn w:val="a0"/>
    <w:rsid w:val="00B7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2020-10-25T17:00:00Z</dcterms:created>
  <dcterms:modified xsi:type="dcterms:W3CDTF">2023-01-15T14:53:00Z</dcterms:modified>
</cp:coreProperties>
</file>